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CB19B5" w:rsidRPr="00CB19B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B19B5">
              <w:rPr>
                <w:color w:val="000000"/>
                <w:lang w:val="sr-Cyrl-RS"/>
              </w:rPr>
              <w:t>Сремској Митровици.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CC7F5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CC7F57">
              <w:rPr>
                <w:color w:val="000000"/>
                <w:lang w:val="en-US"/>
              </w:rPr>
              <w:t>909.216,00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CC7F5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CC7F57">
              <w:rPr>
                <w:lang w:val="en-US" w:eastAsia="sr-Latn-RS"/>
              </w:rPr>
              <w:t>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9B5"/>
    <w:rsid w:val="00CB1ACC"/>
    <w:rsid w:val="00CC7F57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FE92-25C7-4B18-B345-C46882D5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2019-03-20T14:12:00Z</dcterms:modified>
</cp:coreProperties>
</file>